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DE03A5" w14:paraId="1F6FF132" w14:textId="77777777" w:rsidTr="00DE03A5">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E03A5" w14:paraId="4726123E"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DE03A5" w14:paraId="55105EF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E03A5" w14:paraId="0352051C" w14:textId="77777777">
                          <w:tc>
                            <w:tcPr>
                              <w:tcW w:w="0" w:type="auto"/>
                              <w:tcMar>
                                <w:top w:w="0" w:type="dxa"/>
                                <w:left w:w="135" w:type="dxa"/>
                                <w:bottom w:w="0" w:type="dxa"/>
                                <w:right w:w="135" w:type="dxa"/>
                              </w:tcMar>
                              <w:hideMark/>
                            </w:tcPr>
                            <w:p w14:paraId="7A00949B" w14:textId="37654098" w:rsidR="00DE03A5" w:rsidRDefault="00DE03A5">
                              <w:pPr>
                                <w:jc w:val="center"/>
                                <w:rPr>
                                  <w:rFonts w:eastAsia="Times New Roman"/>
                                </w:rPr>
                              </w:pPr>
                              <w:r>
                                <w:rPr>
                                  <w:rFonts w:eastAsia="Times New Roman"/>
                                  <w:noProof/>
                                </w:rPr>
                                <w:drawing>
                                  <wp:inline distT="0" distB="0" distL="0" distR="0" wp14:anchorId="5CE9376F" wp14:editId="7B9FAAB8">
                                    <wp:extent cx="53721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095375"/>
                                            </a:xfrm>
                                            <a:prstGeom prst="rect">
                                              <a:avLst/>
                                            </a:prstGeom>
                                            <a:noFill/>
                                            <a:ln>
                                              <a:noFill/>
                                            </a:ln>
                                          </pic:spPr>
                                        </pic:pic>
                                      </a:graphicData>
                                    </a:graphic>
                                  </wp:inline>
                                </w:drawing>
                              </w:r>
                            </w:p>
                          </w:tc>
                        </w:tr>
                      </w:tbl>
                      <w:p w14:paraId="7C9AADF4" w14:textId="77777777" w:rsidR="00DE03A5" w:rsidRDefault="00DE03A5">
                        <w:pPr>
                          <w:rPr>
                            <w:rFonts w:ascii="Times New Roman" w:eastAsia="Times New Roman" w:hAnsi="Times New Roman" w:cs="Times New Roman"/>
                            <w:sz w:val="20"/>
                            <w:szCs w:val="20"/>
                          </w:rPr>
                        </w:pPr>
                      </w:p>
                    </w:tc>
                  </w:tr>
                </w:tbl>
                <w:p w14:paraId="70189EF8"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6BB2AA22" w14:textId="77777777">
                    <w:tc>
                      <w:tcPr>
                        <w:tcW w:w="0" w:type="auto"/>
                        <w:tcMar>
                          <w:top w:w="0" w:type="dxa"/>
                          <w:left w:w="270" w:type="dxa"/>
                          <w:bottom w:w="270" w:type="dxa"/>
                          <w:right w:w="270" w:type="dxa"/>
                        </w:tcMar>
                        <w:hideMark/>
                      </w:tcPr>
                      <w:tbl>
                        <w:tblPr>
                          <w:tblW w:w="0" w:type="auto"/>
                          <w:jc w:val="center"/>
                          <w:shd w:val="clear" w:color="auto" w:fill="265491"/>
                          <w:tblCellMar>
                            <w:left w:w="0" w:type="dxa"/>
                            <w:right w:w="0" w:type="dxa"/>
                          </w:tblCellMar>
                          <w:tblLook w:val="04A0" w:firstRow="1" w:lastRow="0" w:firstColumn="1" w:lastColumn="0" w:noHBand="0" w:noVBand="1"/>
                        </w:tblPr>
                        <w:tblGrid>
                          <w:gridCol w:w="6343"/>
                        </w:tblGrid>
                        <w:tr w:rsidR="00DE03A5" w14:paraId="7DB605BD" w14:textId="77777777">
                          <w:trPr>
                            <w:jc w:val="center"/>
                          </w:trPr>
                          <w:tc>
                            <w:tcPr>
                              <w:tcW w:w="0" w:type="auto"/>
                              <w:shd w:val="clear" w:color="auto" w:fill="265491"/>
                              <w:tcMar>
                                <w:top w:w="225" w:type="dxa"/>
                                <w:left w:w="225" w:type="dxa"/>
                                <w:bottom w:w="225" w:type="dxa"/>
                                <w:right w:w="225" w:type="dxa"/>
                              </w:tcMar>
                              <w:vAlign w:val="center"/>
                              <w:hideMark/>
                            </w:tcPr>
                            <w:p w14:paraId="7B977D7C" w14:textId="77777777" w:rsidR="00DE03A5" w:rsidRDefault="00DE03A5">
                              <w:pPr>
                                <w:jc w:val="center"/>
                                <w:rPr>
                                  <w:rFonts w:ascii="Arial" w:eastAsia="Times New Roman" w:hAnsi="Arial" w:cs="Arial"/>
                                  <w:sz w:val="24"/>
                                  <w:szCs w:val="24"/>
                                </w:rPr>
                              </w:pPr>
                              <w:hyperlink r:id="rId5" w:tgtFrame="_blank" w:tooltip="FTA / APSA MEMBERSHIP COST &amp; BENEFIT 2020 / 2021" w:history="1">
                                <w:r>
                                  <w:rPr>
                                    <w:rStyle w:val="Hyperlink"/>
                                    <w:rFonts w:ascii="Arial" w:eastAsia="Times New Roman" w:hAnsi="Arial" w:cs="Arial"/>
                                    <w:b/>
                                    <w:bCs/>
                                    <w:color w:val="FFFFFF"/>
                                  </w:rPr>
                                  <w:t>FTA / APSA MEMBERSHIP COST &amp; BENEFIT 2020 / 2021</w:t>
                                </w:r>
                              </w:hyperlink>
                              <w:r>
                                <w:rPr>
                                  <w:rFonts w:ascii="Arial" w:eastAsia="Times New Roman" w:hAnsi="Arial" w:cs="Arial"/>
                                  <w:sz w:val="24"/>
                                  <w:szCs w:val="24"/>
                                </w:rPr>
                                <w:t xml:space="preserve"> </w:t>
                              </w:r>
                            </w:p>
                          </w:tc>
                        </w:tr>
                      </w:tbl>
                      <w:p w14:paraId="4B072210" w14:textId="77777777" w:rsidR="00DE03A5" w:rsidRDefault="00DE03A5">
                        <w:pPr>
                          <w:jc w:val="center"/>
                          <w:rPr>
                            <w:rFonts w:ascii="Times New Roman" w:eastAsia="Times New Roman" w:hAnsi="Times New Roman" w:cs="Times New Roman"/>
                            <w:sz w:val="20"/>
                            <w:szCs w:val="20"/>
                          </w:rPr>
                        </w:pPr>
                      </w:p>
                    </w:tc>
                  </w:tr>
                </w:tbl>
                <w:p w14:paraId="4035D0E3"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4F8CB82C" w14:textId="77777777">
                    <w:tc>
                      <w:tcPr>
                        <w:tcW w:w="0" w:type="auto"/>
                        <w:tcMar>
                          <w:top w:w="0" w:type="dxa"/>
                          <w:left w:w="270" w:type="dxa"/>
                          <w:bottom w:w="270" w:type="dxa"/>
                          <w:right w:w="270" w:type="dxa"/>
                        </w:tcMar>
                        <w:hideMark/>
                      </w:tcPr>
                      <w:tbl>
                        <w:tblPr>
                          <w:tblW w:w="0" w:type="auto"/>
                          <w:jc w:val="center"/>
                          <w:shd w:val="clear" w:color="auto" w:fill="218A1D"/>
                          <w:tblCellMar>
                            <w:left w:w="0" w:type="dxa"/>
                            <w:right w:w="0" w:type="dxa"/>
                          </w:tblCellMar>
                          <w:tblLook w:val="04A0" w:firstRow="1" w:lastRow="0" w:firstColumn="1" w:lastColumn="0" w:noHBand="0" w:noVBand="1"/>
                        </w:tblPr>
                        <w:tblGrid>
                          <w:gridCol w:w="6908"/>
                        </w:tblGrid>
                        <w:tr w:rsidR="00DE03A5" w14:paraId="46F46036" w14:textId="77777777">
                          <w:trPr>
                            <w:jc w:val="center"/>
                          </w:trPr>
                          <w:tc>
                            <w:tcPr>
                              <w:tcW w:w="0" w:type="auto"/>
                              <w:shd w:val="clear" w:color="auto" w:fill="218A1D"/>
                              <w:tcMar>
                                <w:top w:w="225" w:type="dxa"/>
                                <w:left w:w="225" w:type="dxa"/>
                                <w:bottom w:w="225" w:type="dxa"/>
                                <w:right w:w="225" w:type="dxa"/>
                              </w:tcMar>
                              <w:vAlign w:val="center"/>
                              <w:hideMark/>
                            </w:tcPr>
                            <w:p w14:paraId="6B9B7C17" w14:textId="77777777" w:rsidR="00DE03A5" w:rsidRDefault="00DE03A5">
                              <w:pPr>
                                <w:jc w:val="center"/>
                                <w:rPr>
                                  <w:rFonts w:ascii="Arial" w:eastAsia="Times New Roman" w:hAnsi="Arial" w:cs="Arial"/>
                                  <w:sz w:val="24"/>
                                  <w:szCs w:val="24"/>
                                </w:rPr>
                              </w:pPr>
                              <w:hyperlink r:id="rId6" w:tgtFrame="_blank" w:tooltip="INDUSTRY'S MOST COST EFFECTIVE CPD / CBC PACKAGES" w:history="1">
                                <w:r>
                                  <w:rPr>
                                    <w:rStyle w:val="Hyperlink"/>
                                    <w:rFonts w:ascii="Arial" w:eastAsia="Times New Roman" w:hAnsi="Arial" w:cs="Arial"/>
                                    <w:b/>
                                    <w:bCs/>
                                    <w:color w:val="FFFFFF"/>
                                  </w:rPr>
                                  <w:t>INDUSTRY'S MOST COST EFFECTIVE CPD / CBC PACKAGES</w:t>
                                </w:r>
                              </w:hyperlink>
                              <w:r>
                                <w:rPr>
                                  <w:rFonts w:ascii="Arial" w:eastAsia="Times New Roman" w:hAnsi="Arial" w:cs="Arial"/>
                                  <w:sz w:val="24"/>
                                  <w:szCs w:val="24"/>
                                </w:rPr>
                                <w:t xml:space="preserve"> </w:t>
                              </w:r>
                            </w:p>
                          </w:tc>
                        </w:tr>
                      </w:tbl>
                      <w:p w14:paraId="281BDA26" w14:textId="77777777" w:rsidR="00DE03A5" w:rsidRDefault="00DE03A5">
                        <w:pPr>
                          <w:jc w:val="center"/>
                          <w:rPr>
                            <w:rFonts w:ascii="Times New Roman" w:eastAsia="Times New Roman" w:hAnsi="Times New Roman" w:cs="Times New Roman"/>
                            <w:sz w:val="20"/>
                            <w:szCs w:val="20"/>
                          </w:rPr>
                        </w:pPr>
                      </w:p>
                    </w:tc>
                  </w:tr>
                </w:tbl>
                <w:p w14:paraId="64825E0D"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03EC7E8A" w14:textId="77777777">
                    <w:tc>
                      <w:tcPr>
                        <w:tcW w:w="0" w:type="auto"/>
                        <w:tcMar>
                          <w:top w:w="0" w:type="dxa"/>
                          <w:left w:w="270" w:type="dxa"/>
                          <w:bottom w:w="270" w:type="dxa"/>
                          <w:right w:w="270" w:type="dxa"/>
                        </w:tcMar>
                        <w:hideMark/>
                      </w:tcPr>
                      <w:tbl>
                        <w:tblPr>
                          <w:tblW w:w="0" w:type="auto"/>
                          <w:jc w:val="center"/>
                          <w:shd w:val="clear" w:color="auto" w:fill="EB3A46"/>
                          <w:tblCellMar>
                            <w:left w:w="0" w:type="dxa"/>
                            <w:right w:w="0" w:type="dxa"/>
                          </w:tblCellMar>
                          <w:tblLook w:val="04A0" w:firstRow="1" w:lastRow="0" w:firstColumn="1" w:lastColumn="0" w:noHBand="0" w:noVBand="1"/>
                        </w:tblPr>
                        <w:tblGrid>
                          <w:gridCol w:w="4876"/>
                        </w:tblGrid>
                        <w:tr w:rsidR="00DE03A5" w14:paraId="7251F905" w14:textId="77777777">
                          <w:trPr>
                            <w:jc w:val="center"/>
                          </w:trPr>
                          <w:tc>
                            <w:tcPr>
                              <w:tcW w:w="0" w:type="auto"/>
                              <w:shd w:val="clear" w:color="auto" w:fill="EB3A46"/>
                              <w:tcMar>
                                <w:top w:w="225" w:type="dxa"/>
                                <w:left w:w="225" w:type="dxa"/>
                                <w:bottom w:w="225" w:type="dxa"/>
                                <w:right w:w="225" w:type="dxa"/>
                              </w:tcMar>
                              <w:vAlign w:val="center"/>
                              <w:hideMark/>
                            </w:tcPr>
                            <w:p w14:paraId="785F1267" w14:textId="77777777" w:rsidR="00DE03A5" w:rsidRDefault="00DE03A5">
                              <w:pPr>
                                <w:jc w:val="center"/>
                                <w:rPr>
                                  <w:rFonts w:ascii="Arial" w:eastAsia="Times New Roman" w:hAnsi="Arial" w:cs="Arial"/>
                                  <w:sz w:val="24"/>
                                  <w:szCs w:val="24"/>
                                </w:rPr>
                              </w:pPr>
                              <w:hyperlink r:id="rId7" w:tgtFrame="_blank" w:tooltip="FTA / APSA ADVOCACY PLAN 2020 / 2021" w:history="1">
                                <w:r>
                                  <w:rPr>
                                    <w:rStyle w:val="Hyperlink"/>
                                    <w:rFonts w:ascii="Arial" w:eastAsia="Times New Roman" w:hAnsi="Arial" w:cs="Arial"/>
                                    <w:b/>
                                    <w:bCs/>
                                    <w:color w:val="FFFFFF"/>
                                  </w:rPr>
                                  <w:t>FTA / APSA ADVOCACY PLAN 2020 / 2021</w:t>
                                </w:r>
                              </w:hyperlink>
                              <w:r>
                                <w:rPr>
                                  <w:rFonts w:ascii="Arial" w:eastAsia="Times New Roman" w:hAnsi="Arial" w:cs="Arial"/>
                                  <w:sz w:val="24"/>
                                  <w:szCs w:val="24"/>
                                </w:rPr>
                                <w:t xml:space="preserve"> </w:t>
                              </w:r>
                            </w:p>
                          </w:tc>
                        </w:tr>
                      </w:tbl>
                      <w:p w14:paraId="4DCB1B8B" w14:textId="77777777" w:rsidR="00DE03A5" w:rsidRDefault="00DE03A5">
                        <w:pPr>
                          <w:jc w:val="center"/>
                          <w:rPr>
                            <w:rFonts w:ascii="Times New Roman" w:eastAsia="Times New Roman" w:hAnsi="Times New Roman" w:cs="Times New Roman"/>
                            <w:sz w:val="20"/>
                            <w:szCs w:val="20"/>
                          </w:rPr>
                        </w:pPr>
                      </w:p>
                    </w:tc>
                  </w:tr>
                </w:tbl>
                <w:p w14:paraId="22BF1BD9"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4BE0E55C"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DE03A5" w14:paraId="723A8446" w14:textId="77777777">
                          <w:trPr>
                            <w:jc w:val="center"/>
                            <w:hidden/>
                          </w:trPr>
                          <w:tc>
                            <w:tcPr>
                              <w:tcW w:w="0" w:type="auto"/>
                              <w:hideMark/>
                            </w:tcPr>
                            <w:p w14:paraId="189C11A7" w14:textId="77777777" w:rsidR="00DE03A5" w:rsidRDefault="00DE03A5">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DE03A5" w14:paraId="0ABB281E" w14:textId="77777777">
                                <w:tc>
                                  <w:tcPr>
                                    <w:tcW w:w="0" w:type="auto"/>
                                    <w:tcMar>
                                      <w:top w:w="135" w:type="dxa"/>
                                      <w:left w:w="270" w:type="dxa"/>
                                      <w:bottom w:w="135" w:type="dxa"/>
                                      <w:right w:w="270" w:type="dxa"/>
                                    </w:tcMar>
                                    <w:vAlign w:val="center"/>
                                    <w:hideMark/>
                                  </w:tcPr>
                                  <w:tbl>
                                    <w:tblPr>
                                      <w:tblW w:w="5000" w:type="pct"/>
                                      <w:tblBorders>
                                        <w:top w:val="single" w:sz="12" w:space="0" w:color="234A91"/>
                                        <w:left w:val="single" w:sz="12" w:space="0" w:color="234A91"/>
                                        <w:bottom w:val="single" w:sz="12" w:space="0" w:color="234A91"/>
                                        <w:right w:val="single" w:sz="12" w:space="0" w:color="234A91"/>
                                      </w:tblBorders>
                                      <w:tblLook w:val="04A0" w:firstRow="1" w:lastRow="0" w:firstColumn="1" w:lastColumn="0" w:noHBand="0" w:noVBand="1"/>
                                    </w:tblPr>
                                    <w:tblGrid>
                                      <w:gridCol w:w="8422"/>
                                    </w:tblGrid>
                                    <w:tr w:rsidR="00DE03A5" w14:paraId="4AA1B1D0" w14:textId="77777777">
                                      <w:tc>
                                        <w:tcPr>
                                          <w:tcW w:w="0" w:type="auto"/>
                                          <w:tcBorders>
                                            <w:top w:val="single" w:sz="12" w:space="0" w:color="234A91"/>
                                            <w:left w:val="single" w:sz="12" w:space="0" w:color="234A91"/>
                                            <w:bottom w:val="single" w:sz="12" w:space="0" w:color="234A91"/>
                                            <w:right w:val="single" w:sz="12" w:space="0" w:color="234A91"/>
                                          </w:tcBorders>
                                          <w:tcMar>
                                            <w:top w:w="270" w:type="dxa"/>
                                            <w:left w:w="270" w:type="dxa"/>
                                            <w:bottom w:w="270" w:type="dxa"/>
                                            <w:right w:w="270" w:type="dxa"/>
                                          </w:tcMar>
                                          <w:hideMark/>
                                        </w:tcPr>
                                        <w:p w14:paraId="365DE186" w14:textId="77777777" w:rsidR="00DE03A5" w:rsidRDefault="00DE03A5">
                                          <w:pPr>
                                            <w:pStyle w:val="Heading3"/>
                                            <w:rPr>
                                              <w:rFonts w:eastAsia="Times New Roman"/>
                                            </w:rPr>
                                          </w:pPr>
                                          <w:r>
                                            <w:rPr>
                                              <w:rStyle w:val="Strong"/>
                                              <w:rFonts w:eastAsia="Times New Roman"/>
                                              <w:sz w:val="21"/>
                                              <w:szCs w:val="21"/>
                                            </w:rPr>
                                            <w:t>Who does this notice affect?</w:t>
                                          </w:r>
                                          <w:r>
                                            <w:rPr>
                                              <w:rFonts w:eastAsia="Times New Roman"/>
                                              <w:sz w:val="21"/>
                                              <w:szCs w:val="21"/>
                                            </w:rPr>
                                            <w:br/>
                                          </w:r>
                                          <w:r>
                                            <w:rPr>
                                              <w:rFonts w:eastAsia="Times New Roman"/>
                                              <w:sz w:val="21"/>
                                              <w:szCs w:val="21"/>
                                            </w:rPr>
                                            <w:br/>
                                            <w:t>Exporters, importers, freight forwarders and customs brokers </w:t>
                                          </w:r>
                                        </w:p>
                                      </w:tc>
                                    </w:tr>
                                  </w:tbl>
                                  <w:p w14:paraId="382F5420" w14:textId="77777777" w:rsidR="00DE03A5" w:rsidRDefault="00DE03A5">
                                    <w:pPr>
                                      <w:rPr>
                                        <w:rFonts w:ascii="Times New Roman" w:eastAsia="Times New Roman" w:hAnsi="Times New Roman" w:cs="Times New Roman"/>
                                        <w:sz w:val="20"/>
                                        <w:szCs w:val="20"/>
                                      </w:rPr>
                                    </w:pPr>
                                  </w:p>
                                </w:tc>
                              </w:tr>
                            </w:tbl>
                            <w:p w14:paraId="48FECE3B" w14:textId="77777777" w:rsidR="00DE03A5" w:rsidRDefault="00DE03A5">
                              <w:pPr>
                                <w:rPr>
                                  <w:rFonts w:ascii="Times New Roman" w:eastAsia="Times New Roman" w:hAnsi="Times New Roman" w:cs="Times New Roman"/>
                                  <w:sz w:val="20"/>
                                  <w:szCs w:val="20"/>
                                </w:rPr>
                              </w:pPr>
                            </w:p>
                          </w:tc>
                        </w:tr>
                      </w:tbl>
                      <w:p w14:paraId="49F15F46" w14:textId="77777777" w:rsidR="00DE03A5" w:rsidRDefault="00DE03A5">
                        <w:pPr>
                          <w:jc w:val="center"/>
                          <w:rPr>
                            <w:rFonts w:ascii="Times New Roman" w:eastAsia="Times New Roman" w:hAnsi="Times New Roman" w:cs="Times New Roman"/>
                            <w:sz w:val="20"/>
                            <w:szCs w:val="20"/>
                          </w:rPr>
                        </w:pPr>
                      </w:p>
                    </w:tc>
                  </w:tr>
                </w:tbl>
                <w:p w14:paraId="0DCBC79A"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0B4D58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E03A5" w14:paraId="77D5610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E03A5" w14:paraId="0714C4F6" w14:textId="77777777">
                                <w:tc>
                                  <w:tcPr>
                                    <w:tcW w:w="0" w:type="auto"/>
                                    <w:tcMar>
                                      <w:top w:w="0" w:type="dxa"/>
                                      <w:left w:w="270" w:type="dxa"/>
                                      <w:bottom w:w="135" w:type="dxa"/>
                                      <w:right w:w="270" w:type="dxa"/>
                                    </w:tcMar>
                                    <w:hideMark/>
                                  </w:tcPr>
                                  <w:p w14:paraId="5DB515DE" w14:textId="77777777" w:rsidR="00DE03A5" w:rsidRDefault="00DE03A5">
                                    <w:pPr>
                                      <w:pStyle w:val="Heading1"/>
                                      <w:rPr>
                                        <w:rFonts w:eastAsia="Times New Roman"/>
                                      </w:rPr>
                                    </w:pPr>
                                    <w:r>
                                      <w:rPr>
                                        <w:rFonts w:eastAsia="Times New Roman"/>
                                      </w:rPr>
                                      <w:t>MSC- SYDNEY PORT CONGESTION SURCHARGE</w:t>
                                    </w:r>
                                  </w:p>
                                </w:tc>
                              </w:tr>
                            </w:tbl>
                            <w:p w14:paraId="42D4C6A4" w14:textId="77777777" w:rsidR="00DE03A5" w:rsidRDefault="00DE03A5">
                              <w:pPr>
                                <w:rPr>
                                  <w:rFonts w:ascii="Times New Roman" w:eastAsia="Times New Roman" w:hAnsi="Times New Roman" w:cs="Times New Roman"/>
                                  <w:sz w:val="20"/>
                                  <w:szCs w:val="20"/>
                                </w:rPr>
                              </w:pPr>
                            </w:p>
                          </w:tc>
                        </w:tr>
                      </w:tbl>
                      <w:p w14:paraId="4FF87FD8" w14:textId="77777777" w:rsidR="00DE03A5" w:rsidRDefault="00DE03A5">
                        <w:pPr>
                          <w:rPr>
                            <w:rFonts w:ascii="Times New Roman" w:eastAsia="Times New Roman" w:hAnsi="Times New Roman" w:cs="Times New Roman"/>
                            <w:sz w:val="20"/>
                            <w:szCs w:val="20"/>
                          </w:rPr>
                        </w:pPr>
                      </w:p>
                    </w:tc>
                  </w:tr>
                </w:tbl>
                <w:p w14:paraId="3152FBC5"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7CE1147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E03A5" w14:paraId="24249E5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E03A5" w14:paraId="04001541" w14:textId="77777777">
                                <w:tc>
                                  <w:tcPr>
                                    <w:tcW w:w="0" w:type="auto"/>
                                    <w:tcMar>
                                      <w:top w:w="0" w:type="dxa"/>
                                      <w:left w:w="270" w:type="dxa"/>
                                      <w:bottom w:w="135" w:type="dxa"/>
                                      <w:right w:w="270" w:type="dxa"/>
                                    </w:tcMar>
                                    <w:hideMark/>
                                  </w:tcPr>
                                  <w:p w14:paraId="5791809E" w14:textId="77777777" w:rsidR="00DE03A5" w:rsidRDefault="00DE03A5">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Freight &amp; Trade Alliance (FTA) and the Australian Peak Shippers Association (APSA) have been inundated with feedback from members expressing serious concern and confusion in terms of today's notice (extract below) disseminated by Mediterranean Shipping Company (MSC).</w:t>
                                    </w:r>
                                  </w:p>
                                </w:tc>
                              </w:tr>
                            </w:tbl>
                            <w:p w14:paraId="123C08A7" w14:textId="77777777" w:rsidR="00DE03A5" w:rsidRDefault="00DE03A5">
                              <w:pPr>
                                <w:rPr>
                                  <w:rFonts w:ascii="Times New Roman" w:eastAsia="Times New Roman" w:hAnsi="Times New Roman" w:cs="Times New Roman"/>
                                  <w:sz w:val="20"/>
                                  <w:szCs w:val="20"/>
                                </w:rPr>
                              </w:pPr>
                            </w:p>
                          </w:tc>
                        </w:tr>
                      </w:tbl>
                      <w:p w14:paraId="2BDA9DB6" w14:textId="77777777" w:rsidR="00DE03A5" w:rsidRDefault="00DE03A5">
                        <w:pPr>
                          <w:rPr>
                            <w:rFonts w:ascii="Times New Roman" w:eastAsia="Times New Roman" w:hAnsi="Times New Roman" w:cs="Times New Roman"/>
                            <w:sz w:val="20"/>
                            <w:szCs w:val="20"/>
                          </w:rPr>
                        </w:pPr>
                      </w:p>
                    </w:tc>
                  </w:tr>
                </w:tbl>
                <w:p w14:paraId="61DC53FB"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0DF0A173"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DE03A5" w14:paraId="5A64EFDA" w14:textId="77777777">
                          <w:trPr>
                            <w:jc w:val="center"/>
                            <w:hidden/>
                          </w:trPr>
                          <w:tc>
                            <w:tcPr>
                              <w:tcW w:w="0" w:type="auto"/>
                              <w:hideMark/>
                            </w:tcPr>
                            <w:p w14:paraId="5C8EAA29" w14:textId="77777777" w:rsidR="00DE03A5" w:rsidRDefault="00DE03A5">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DE03A5" w14:paraId="17E00560" w14:textId="77777777">
                                <w:tc>
                                  <w:tcPr>
                                    <w:tcW w:w="0" w:type="auto"/>
                                    <w:tcMar>
                                      <w:top w:w="135" w:type="dxa"/>
                                      <w:left w:w="270" w:type="dxa"/>
                                      <w:bottom w:w="135" w:type="dxa"/>
                                      <w:right w:w="270" w:type="dxa"/>
                                    </w:tcMar>
                                    <w:vAlign w:val="center"/>
                                    <w:hideMark/>
                                  </w:tcPr>
                                  <w:tbl>
                                    <w:tblPr>
                                      <w:tblW w:w="5000" w:type="pct"/>
                                      <w:tblBorders>
                                        <w:top w:val="single" w:sz="12" w:space="0" w:color="234A91"/>
                                        <w:left w:val="single" w:sz="12" w:space="0" w:color="234A91"/>
                                        <w:bottom w:val="single" w:sz="12" w:space="0" w:color="234A91"/>
                                        <w:right w:val="single" w:sz="12" w:space="0" w:color="234A91"/>
                                      </w:tblBorders>
                                      <w:tblLook w:val="04A0" w:firstRow="1" w:lastRow="0" w:firstColumn="1" w:lastColumn="0" w:noHBand="0" w:noVBand="1"/>
                                    </w:tblPr>
                                    <w:tblGrid>
                                      <w:gridCol w:w="8424"/>
                                    </w:tblGrid>
                                    <w:tr w:rsidR="00DE03A5" w14:paraId="19820FE0" w14:textId="77777777">
                                      <w:tc>
                                        <w:tcPr>
                                          <w:tcW w:w="0" w:type="auto"/>
                                          <w:tcBorders>
                                            <w:top w:val="single" w:sz="12" w:space="0" w:color="234A91"/>
                                            <w:left w:val="single" w:sz="12" w:space="0" w:color="234A91"/>
                                            <w:bottom w:val="single" w:sz="12" w:space="0" w:color="234A91"/>
                                            <w:right w:val="single" w:sz="12" w:space="0" w:color="234A91"/>
                                          </w:tcBorders>
                                          <w:tcMar>
                                            <w:top w:w="270" w:type="dxa"/>
                                            <w:left w:w="270" w:type="dxa"/>
                                            <w:bottom w:w="270" w:type="dxa"/>
                                            <w:right w:w="270" w:type="dxa"/>
                                          </w:tcMar>
                                          <w:hideMark/>
                                        </w:tcPr>
                                        <w:p w14:paraId="6822C8E6" w14:textId="77777777" w:rsidR="00DE03A5" w:rsidRDefault="00DE03A5">
                                          <w:pPr>
                                            <w:spacing w:line="300" w:lineRule="auto"/>
                                            <w:rPr>
                                              <w:rFonts w:ascii="Helvetica" w:eastAsia="Times New Roman" w:hAnsi="Helvetica" w:cs="Helvetica"/>
                                              <w:color w:val="222222"/>
                                              <w:sz w:val="21"/>
                                              <w:szCs w:val="21"/>
                                            </w:rPr>
                                          </w:pPr>
                                          <w:r>
                                            <w:rPr>
                                              <w:rStyle w:val="Strong"/>
                                              <w:rFonts w:ascii="Helvetica" w:eastAsia="Times New Roman" w:hAnsi="Helvetica" w:cs="Helvetica"/>
                                              <w:color w:val="222222"/>
                                              <w:sz w:val="21"/>
                                              <w:szCs w:val="21"/>
                                            </w:rPr>
                                            <w:t>SYDNEY PORT CONGESTION SURCHARGE</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MSC Mediterranean Shipping Company wishes to advise clients that due to congestion in the port of Sydney, caused by industrial actions which are impacting Sydney’s terminals productivity, a Congestion Surcharge (CGS) will apply to maintain the service at the required level.</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A Congestion Surcharge of USD 300 per TEU will be introduced with the following validity:</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 Import cargo: for vessel arrival on the 14 September and onward</w:t>
                                          </w:r>
                                          <w:r>
                                            <w:rPr>
                                              <w:rFonts w:ascii="Helvetica" w:eastAsia="Times New Roman" w:hAnsi="Helvetica" w:cs="Helvetica"/>
                                              <w:color w:val="222222"/>
                                              <w:sz w:val="21"/>
                                              <w:szCs w:val="21"/>
                                            </w:rPr>
                                            <w:br/>
                                            <w:t>• Export cargo: from commercial date 14 September and onward</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lastRenderedPageBreak/>
                                            <w:t>• For Import cargo from U.S: from cargo possession on 8 October</w:t>
                                          </w:r>
                                          <w:r>
                                            <w:rPr>
                                              <w:rFonts w:ascii="Helvetica" w:eastAsia="Times New Roman" w:hAnsi="Helvetica" w:cs="Helvetica"/>
                                              <w:color w:val="222222"/>
                                              <w:sz w:val="21"/>
                                              <w:szCs w:val="21"/>
                                            </w:rPr>
                                            <w:br/>
                                            <w:t>• For Export cargo to U.S.: from cargo possession on 8 October</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MSC is following closely the situation and will inform you as soon as Sydney port operations will return to normal.</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For further information, please contact your local MSC office.</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Best Regards,</w:t>
                                          </w:r>
                                          <w:r>
                                            <w:rPr>
                                              <w:rFonts w:ascii="Helvetica" w:eastAsia="Times New Roman" w:hAnsi="Helvetica" w:cs="Helvetica"/>
                                              <w:color w:val="222222"/>
                                              <w:sz w:val="21"/>
                                              <w:szCs w:val="21"/>
                                            </w:rPr>
                                            <w:br/>
                                            <w:t xml:space="preserve">MSC Mediterranean Shipping Company </w:t>
                                          </w:r>
                                        </w:p>
                                      </w:tc>
                                    </w:tr>
                                  </w:tbl>
                                  <w:p w14:paraId="2DA7C291" w14:textId="77777777" w:rsidR="00DE03A5" w:rsidRDefault="00DE03A5">
                                    <w:pPr>
                                      <w:rPr>
                                        <w:rFonts w:ascii="Times New Roman" w:eastAsia="Times New Roman" w:hAnsi="Times New Roman" w:cs="Times New Roman"/>
                                        <w:sz w:val="20"/>
                                        <w:szCs w:val="20"/>
                                      </w:rPr>
                                    </w:pPr>
                                  </w:p>
                                </w:tc>
                              </w:tr>
                            </w:tbl>
                            <w:p w14:paraId="083AFF68" w14:textId="77777777" w:rsidR="00DE03A5" w:rsidRDefault="00DE03A5">
                              <w:pPr>
                                <w:rPr>
                                  <w:rFonts w:ascii="Times New Roman" w:eastAsia="Times New Roman" w:hAnsi="Times New Roman" w:cs="Times New Roman"/>
                                  <w:sz w:val="20"/>
                                  <w:szCs w:val="20"/>
                                </w:rPr>
                              </w:pPr>
                            </w:p>
                          </w:tc>
                        </w:tr>
                      </w:tbl>
                      <w:p w14:paraId="6D526B70" w14:textId="77777777" w:rsidR="00DE03A5" w:rsidRDefault="00DE03A5">
                        <w:pPr>
                          <w:jc w:val="center"/>
                          <w:rPr>
                            <w:rFonts w:ascii="Times New Roman" w:eastAsia="Times New Roman" w:hAnsi="Times New Roman" w:cs="Times New Roman"/>
                            <w:sz w:val="20"/>
                            <w:szCs w:val="20"/>
                          </w:rPr>
                        </w:pPr>
                      </w:p>
                    </w:tc>
                  </w:tr>
                </w:tbl>
                <w:p w14:paraId="636E72B2" w14:textId="77777777" w:rsidR="00DE03A5" w:rsidRDefault="00DE03A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E03A5" w14:paraId="7FC070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E03A5" w14:paraId="35B1308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E03A5" w14:paraId="029A1B83" w14:textId="77777777">
                                <w:tc>
                                  <w:tcPr>
                                    <w:tcW w:w="0" w:type="auto"/>
                                    <w:tcMar>
                                      <w:top w:w="0" w:type="dxa"/>
                                      <w:left w:w="270" w:type="dxa"/>
                                      <w:bottom w:w="135" w:type="dxa"/>
                                      <w:right w:w="270" w:type="dxa"/>
                                    </w:tcMar>
                                    <w:hideMark/>
                                  </w:tcPr>
                                  <w:p w14:paraId="1F33002A" w14:textId="77777777" w:rsidR="00DE03A5" w:rsidRDefault="00DE03A5">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FTA / APSA have subsequently made initial contact with NSW executives at MSC requesting further detail behind the rationale for the charge and in particular, as to how an extra USD $300 per TEU will be used to alleviate the referenced congestion issues.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If anything, importers and exporters should be compensated for the poor port performance issues (stevedore industrial action, empty container park congestion / re-directions, container detention fees), not recipients of an additional surcharge which only adds salt into the wounds.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We are seeking more detail from MSC noting that this advice only provides 5 days' notice with potentially thousands of import container currently in-transit.</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We will keep members up to date with developments on this important matter.</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s="Helvetica"/>
                                        <w:color w:val="222222"/>
                                        <w:sz w:val="21"/>
                                        <w:szCs w:val="21"/>
                                      </w:rPr>
                                      <w:t>Paul Zalai -  Director and Co-Founder, FTA / Secretariat, APSA</w:t>
                                    </w:r>
                                  </w:p>
                                </w:tc>
                              </w:tr>
                            </w:tbl>
                            <w:p w14:paraId="6D1E124E" w14:textId="77777777" w:rsidR="00DE03A5" w:rsidRDefault="00DE03A5">
                              <w:pPr>
                                <w:rPr>
                                  <w:rFonts w:ascii="Times New Roman" w:eastAsia="Times New Roman" w:hAnsi="Times New Roman" w:cs="Times New Roman"/>
                                  <w:sz w:val="20"/>
                                  <w:szCs w:val="20"/>
                                </w:rPr>
                              </w:pPr>
                            </w:p>
                          </w:tc>
                        </w:tr>
                      </w:tbl>
                      <w:p w14:paraId="699E7A23" w14:textId="77777777" w:rsidR="00DE03A5" w:rsidRDefault="00DE03A5">
                        <w:pPr>
                          <w:rPr>
                            <w:rFonts w:ascii="Times New Roman" w:eastAsia="Times New Roman" w:hAnsi="Times New Roman" w:cs="Times New Roman"/>
                            <w:sz w:val="20"/>
                            <w:szCs w:val="20"/>
                          </w:rPr>
                        </w:pPr>
                      </w:p>
                    </w:tc>
                  </w:tr>
                </w:tbl>
                <w:p w14:paraId="149C3190" w14:textId="77777777" w:rsidR="00DE03A5" w:rsidRDefault="00DE03A5">
                  <w:pPr>
                    <w:rPr>
                      <w:rFonts w:ascii="Times New Roman" w:eastAsia="Times New Roman" w:hAnsi="Times New Roman" w:cs="Times New Roman"/>
                      <w:sz w:val="20"/>
                      <w:szCs w:val="20"/>
                    </w:rPr>
                  </w:pPr>
                </w:p>
              </w:tc>
            </w:tr>
          </w:tbl>
          <w:p w14:paraId="1A969F74" w14:textId="77777777" w:rsidR="00DE03A5" w:rsidRDefault="00DE03A5">
            <w:pPr>
              <w:jc w:val="center"/>
              <w:rPr>
                <w:rFonts w:ascii="Times New Roman" w:eastAsia="Times New Roman" w:hAnsi="Times New Roman" w:cs="Times New Roman"/>
                <w:sz w:val="20"/>
                <w:szCs w:val="20"/>
              </w:rPr>
            </w:pPr>
          </w:p>
        </w:tc>
      </w:tr>
    </w:tbl>
    <w:p w14:paraId="604FCAB1" w14:textId="77777777" w:rsidR="00316F1C" w:rsidRDefault="00316F1C"/>
    <w:sectPr w:rsidR="00316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A5"/>
    <w:rsid w:val="00316F1C"/>
    <w:rsid w:val="00DE0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833B"/>
  <w15:chartTrackingRefBased/>
  <w15:docId w15:val="{124F1485-86BB-4544-BD51-041FAFFF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A5"/>
    <w:pPr>
      <w:spacing w:after="0" w:line="240" w:lineRule="auto"/>
    </w:pPr>
    <w:rPr>
      <w:rFonts w:ascii="Calibri" w:hAnsi="Calibri" w:cs="Calibri"/>
      <w:lang w:eastAsia="en-AU"/>
    </w:rPr>
  </w:style>
  <w:style w:type="paragraph" w:styleId="Heading1">
    <w:name w:val="heading 1"/>
    <w:basedOn w:val="Normal"/>
    <w:link w:val="Heading1Char"/>
    <w:uiPriority w:val="9"/>
    <w:qFormat/>
    <w:rsid w:val="00DE03A5"/>
    <w:pPr>
      <w:spacing w:line="300" w:lineRule="auto"/>
      <w:outlineLvl w:val="0"/>
    </w:pPr>
    <w:rPr>
      <w:rFonts w:ascii="Helvetica" w:hAnsi="Helvetica" w:cs="Helvetica"/>
      <w:b/>
      <w:bCs/>
      <w:color w:val="234A91"/>
      <w:spacing w:val="15"/>
      <w:kern w:val="36"/>
      <w:sz w:val="24"/>
      <w:szCs w:val="24"/>
    </w:rPr>
  </w:style>
  <w:style w:type="paragraph" w:styleId="Heading3">
    <w:name w:val="heading 3"/>
    <w:basedOn w:val="Normal"/>
    <w:link w:val="Heading3Char"/>
    <w:uiPriority w:val="9"/>
    <w:semiHidden/>
    <w:unhideWhenUsed/>
    <w:qFormat/>
    <w:rsid w:val="00DE03A5"/>
    <w:pPr>
      <w:spacing w:line="300" w:lineRule="auto"/>
      <w:outlineLvl w:val="2"/>
    </w:pPr>
    <w:rPr>
      <w:rFonts w:ascii="Helvetica" w:hAnsi="Helvetica" w:cs="Helvetic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A5"/>
    <w:rPr>
      <w:rFonts w:ascii="Helvetica" w:hAnsi="Helvetica" w:cs="Helvetica"/>
      <w:b/>
      <w:bCs/>
      <w:color w:val="234A91"/>
      <w:spacing w:val="15"/>
      <w:kern w:val="36"/>
      <w:sz w:val="24"/>
      <w:szCs w:val="24"/>
      <w:lang w:eastAsia="en-AU"/>
    </w:rPr>
  </w:style>
  <w:style w:type="character" w:customStyle="1" w:styleId="Heading3Char">
    <w:name w:val="Heading 3 Char"/>
    <w:basedOn w:val="DefaultParagraphFont"/>
    <w:link w:val="Heading3"/>
    <w:uiPriority w:val="9"/>
    <w:semiHidden/>
    <w:rsid w:val="00DE03A5"/>
    <w:rPr>
      <w:rFonts w:ascii="Helvetica" w:hAnsi="Helvetica" w:cs="Helvetica"/>
      <w:color w:val="000000"/>
      <w:sz w:val="18"/>
      <w:szCs w:val="18"/>
      <w:lang w:eastAsia="en-AU"/>
    </w:rPr>
  </w:style>
  <w:style w:type="character" w:styleId="Hyperlink">
    <w:name w:val="Hyperlink"/>
    <w:basedOn w:val="DefaultParagraphFont"/>
    <w:uiPriority w:val="99"/>
    <w:semiHidden/>
    <w:unhideWhenUsed/>
    <w:rsid w:val="00DE03A5"/>
    <w:rPr>
      <w:color w:val="0000FF"/>
      <w:u w:val="single"/>
    </w:rPr>
  </w:style>
  <w:style w:type="character" w:styleId="Strong">
    <w:name w:val="Strong"/>
    <w:basedOn w:val="DefaultParagraphFont"/>
    <w:uiPriority w:val="22"/>
    <w:qFormat/>
    <w:rsid w:val="00DE0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TAlliance.us6.list-manage.com/track/click?u=e9d77c8ae8&amp;id=2e9380ebd6&amp;e=39802814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Alliance.us6.list-manage.com/track/click?u=e9d77c8ae8&amp;id=7562b22d4c&amp;e=39802814a0" TargetMode="External"/><Relationship Id="rId5" Type="http://schemas.openxmlformats.org/officeDocument/2006/relationships/hyperlink" Target="https://FTAlliance.us6.list-manage.com/track/click?u=e9d77c8ae8&amp;id=a7e1018138&amp;e=39802814a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Bell</dc:creator>
  <cp:keywords/>
  <dc:description/>
  <cp:lastModifiedBy>Glen Bell</cp:lastModifiedBy>
  <cp:revision>1</cp:revision>
  <dcterms:created xsi:type="dcterms:W3CDTF">2020-09-10T03:00:00Z</dcterms:created>
  <dcterms:modified xsi:type="dcterms:W3CDTF">2020-09-10T03:02:00Z</dcterms:modified>
</cp:coreProperties>
</file>